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43F" w:rsidRDefault="00E43ECB">
      <w:pPr>
        <w:rPr>
          <w:b/>
        </w:rPr>
      </w:pPr>
      <w:r>
        <w:t xml:space="preserve">                                                  </w:t>
      </w:r>
      <w:r w:rsidRPr="00E43ECB">
        <w:rPr>
          <w:b/>
        </w:rPr>
        <w:t>INFORMACJA  DODATKOWA</w:t>
      </w:r>
    </w:p>
    <w:p w:rsidR="00E43ECB" w:rsidRDefault="00E43ECB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4"/>
        <w:gridCol w:w="8228"/>
      </w:tblGrid>
      <w:tr w:rsidR="00E43ECB" w:rsidTr="00C940B9">
        <w:tc>
          <w:tcPr>
            <w:tcW w:w="562" w:type="dxa"/>
          </w:tcPr>
          <w:p w:rsidR="00E43ECB" w:rsidRDefault="007F7EC5">
            <w:pPr>
              <w:rPr>
                <w:b/>
              </w:rPr>
            </w:pPr>
            <w:r>
              <w:rPr>
                <w:b/>
              </w:rPr>
              <w:t>I</w:t>
            </w:r>
            <w:r w:rsidR="00E43ECB">
              <w:rPr>
                <w:b/>
              </w:rPr>
              <w:t>.</w:t>
            </w:r>
          </w:p>
        </w:tc>
        <w:tc>
          <w:tcPr>
            <w:tcW w:w="8500" w:type="dxa"/>
          </w:tcPr>
          <w:p w:rsidR="00E43ECB" w:rsidRDefault="00E43ECB">
            <w:pPr>
              <w:rPr>
                <w:b/>
              </w:rPr>
            </w:pPr>
            <w:r>
              <w:rPr>
                <w:b/>
              </w:rPr>
              <w:t xml:space="preserve"> Wprowadzenie do sprawozdania finansowego, obejmuje w szczególności   </w:t>
            </w:r>
          </w:p>
        </w:tc>
      </w:tr>
      <w:tr w:rsidR="00E43ECB" w:rsidTr="00C940B9">
        <w:tc>
          <w:tcPr>
            <w:tcW w:w="562" w:type="dxa"/>
          </w:tcPr>
          <w:p w:rsidR="00E43ECB" w:rsidRDefault="007F7EC5">
            <w:pPr>
              <w:rPr>
                <w:b/>
              </w:rPr>
            </w:pPr>
            <w:r w:rsidRPr="007F7EC5">
              <w:t>1</w:t>
            </w:r>
            <w:r>
              <w:rPr>
                <w:b/>
              </w:rPr>
              <w:t>.</w:t>
            </w:r>
          </w:p>
        </w:tc>
        <w:tc>
          <w:tcPr>
            <w:tcW w:w="8500" w:type="dxa"/>
          </w:tcPr>
          <w:p w:rsidR="00E43ECB" w:rsidRDefault="00E43ECB">
            <w:pPr>
              <w:rPr>
                <w:b/>
              </w:rPr>
            </w:pPr>
          </w:p>
        </w:tc>
      </w:tr>
      <w:tr w:rsidR="00E43ECB" w:rsidTr="00C940B9">
        <w:tc>
          <w:tcPr>
            <w:tcW w:w="562" w:type="dxa"/>
          </w:tcPr>
          <w:p w:rsidR="00E43ECB" w:rsidRPr="007F7EC5" w:rsidRDefault="007F7EC5">
            <w:r w:rsidRPr="007F7EC5">
              <w:t>1.1</w:t>
            </w:r>
            <w:r w:rsidR="009E30E8">
              <w:t>.</w:t>
            </w:r>
          </w:p>
        </w:tc>
        <w:tc>
          <w:tcPr>
            <w:tcW w:w="8500" w:type="dxa"/>
          </w:tcPr>
          <w:p w:rsidR="00E43ECB" w:rsidRPr="007F7EC5" w:rsidRDefault="007F7EC5">
            <w:r>
              <w:rPr>
                <w:b/>
              </w:rPr>
              <w:t xml:space="preserve"> </w:t>
            </w:r>
            <w:r w:rsidRPr="007F7EC5">
              <w:t>Nazwę jednostki</w:t>
            </w:r>
          </w:p>
        </w:tc>
      </w:tr>
      <w:tr w:rsidR="00E43ECB" w:rsidTr="00C940B9">
        <w:tc>
          <w:tcPr>
            <w:tcW w:w="562" w:type="dxa"/>
          </w:tcPr>
          <w:p w:rsidR="00E43ECB" w:rsidRDefault="00E43ECB">
            <w:pPr>
              <w:rPr>
                <w:b/>
              </w:rPr>
            </w:pPr>
          </w:p>
        </w:tc>
        <w:tc>
          <w:tcPr>
            <w:tcW w:w="8500" w:type="dxa"/>
          </w:tcPr>
          <w:p w:rsidR="00E43ECB" w:rsidRPr="007F7EC5" w:rsidRDefault="007F7EC5" w:rsidP="007F7EC5">
            <w:r w:rsidRPr="007F7EC5">
              <w:t>SZKOŁA PODSTAWOWA W PIERZCHNICY  im. S. Kard. Wyszyńskiego</w:t>
            </w:r>
          </w:p>
          <w:p w:rsidR="007F7EC5" w:rsidRDefault="007F7EC5" w:rsidP="007F7EC5">
            <w:pPr>
              <w:rPr>
                <w:b/>
              </w:rPr>
            </w:pP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7F7EC5">
            <w:r w:rsidRPr="007F7EC5">
              <w:t>1.2</w:t>
            </w:r>
            <w:r w:rsidR="009E30E8">
              <w:t>.</w:t>
            </w:r>
          </w:p>
        </w:tc>
        <w:tc>
          <w:tcPr>
            <w:tcW w:w="8500" w:type="dxa"/>
          </w:tcPr>
          <w:p w:rsidR="00E43ECB" w:rsidRPr="007F7EC5" w:rsidRDefault="007F7EC5" w:rsidP="007F7EC5">
            <w:r>
              <w:t xml:space="preserve"> siedzibę jednostki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7F7EC5">
            <w:r>
              <w:t xml:space="preserve">                                  Pierzchnica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7F7EC5">
            <w:r>
              <w:t>1.3</w:t>
            </w:r>
            <w:r w:rsidR="009E30E8">
              <w:t>.</w:t>
            </w:r>
          </w:p>
        </w:tc>
        <w:tc>
          <w:tcPr>
            <w:tcW w:w="8500" w:type="dxa"/>
          </w:tcPr>
          <w:p w:rsidR="00E43ECB" w:rsidRPr="007F7EC5" w:rsidRDefault="007F7EC5">
            <w:r>
              <w:t>adres  jednostki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7F7EC5">
            <w:r>
              <w:t xml:space="preserve">           ul. Kard. S. Wyszyńskiego 5  26-015 Pierzchnica</w:t>
            </w:r>
          </w:p>
          <w:p w:rsidR="007F7EC5" w:rsidRPr="007F7EC5" w:rsidRDefault="007F7EC5"/>
        </w:tc>
      </w:tr>
      <w:tr w:rsidR="00E43ECB" w:rsidRPr="007F7EC5" w:rsidTr="00C940B9">
        <w:tc>
          <w:tcPr>
            <w:tcW w:w="562" w:type="dxa"/>
          </w:tcPr>
          <w:p w:rsidR="00E43ECB" w:rsidRPr="007F7EC5" w:rsidRDefault="007F7EC5" w:rsidP="007F7EC5">
            <w:r>
              <w:t>1.4</w:t>
            </w:r>
            <w:r w:rsidR="009E30E8">
              <w:t>.</w:t>
            </w:r>
          </w:p>
        </w:tc>
        <w:tc>
          <w:tcPr>
            <w:tcW w:w="8500" w:type="dxa"/>
          </w:tcPr>
          <w:p w:rsidR="00E43ECB" w:rsidRPr="007F7EC5" w:rsidRDefault="007F7EC5">
            <w:r>
              <w:t>podstawowy  przedmiot działalności jednostki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7F7EC5">
            <w:r>
              <w:t xml:space="preserve">     </w:t>
            </w:r>
            <w:r w:rsidR="00811452">
              <w:t xml:space="preserve">        szkoły podstawowe</w:t>
            </w:r>
          </w:p>
          <w:p w:rsidR="007F7EC5" w:rsidRPr="007F7EC5" w:rsidRDefault="007F7EC5"/>
        </w:tc>
      </w:tr>
      <w:tr w:rsidR="00E43ECB" w:rsidRPr="007F7EC5" w:rsidTr="00C940B9">
        <w:tc>
          <w:tcPr>
            <w:tcW w:w="562" w:type="dxa"/>
          </w:tcPr>
          <w:p w:rsidR="00E43ECB" w:rsidRPr="007F7EC5" w:rsidRDefault="00811452">
            <w:r>
              <w:t>2.</w:t>
            </w:r>
          </w:p>
        </w:tc>
        <w:tc>
          <w:tcPr>
            <w:tcW w:w="8500" w:type="dxa"/>
          </w:tcPr>
          <w:p w:rsidR="00E43ECB" w:rsidRPr="007F7EC5" w:rsidRDefault="00811452">
            <w:r>
              <w:t>wskazanie okresu sprawozdawczego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811452">
            <w:r>
              <w:t xml:space="preserve">               01.01.2018r do 31.12.2018r</w:t>
            </w:r>
          </w:p>
          <w:p w:rsidR="00811452" w:rsidRPr="007F7EC5" w:rsidRDefault="00811452"/>
        </w:tc>
      </w:tr>
      <w:tr w:rsidR="00E43ECB" w:rsidRPr="007F7EC5" w:rsidTr="00C940B9">
        <w:tc>
          <w:tcPr>
            <w:tcW w:w="562" w:type="dxa"/>
          </w:tcPr>
          <w:p w:rsidR="00E43ECB" w:rsidRPr="007F7EC5" w:rsidRDefault="00811452">
            <w:r>
              <w:t xml:space="preserve">3. </w:t>
            </w:r>
          </w:p>
        </w:tc>
        <w:tc>
          <w:tcPr>
            <w:tcW w:w="8500" w:type="dxa"/>
          </w:tcPr>
          <w:p w:rsidR="00E43ECB" w:rsidRPr="007F7EC5" w:rsidRDefault="00811452" w:rsidP="001260E6">
            <w:r>
              <w:t xml:space="preserve"> wskazanie, że sprawozdanie finansowe zawiera dane łączne, jeżeli w skład jednostki nadrzędnej lub jednostki samorządu terytorialnego wchodzą jednostki sporządzające samodzielne </w:t>
            </w:r>
            <w:r w:rsidR="001260E6">
              <w:t>sprawozdania finansowe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1260E6">
            <w:r>
              <w:t xml:space="preserve">                                          Nie  dotyczy</w:t>
            </w:r>
          </w:p>
          <w:p w:rsidR="007B3DAA" w:rsidRPr="007F7EC5" w:rsidRDefault="007B3DAA"/>
        </w:tc>
      </w:tr>
      <w:tr w:rsidR="00E43ECB" w:rsidRPr="007F7EC5" w:rsidTr="00C940B9">
        <w:tc>
          <w:tcPr>
            <w:tcW w:w="562" w:type="dxa"/>
          </w:tcPr>
          <w:p w:rsidR="00E43ECB" w:rsidRPr="007F7EC5" w:rsidRDefault="001260E6">
            <w:r>
              <w:t>4.</w:t>
            </w:r>
          </w:p>
        </w:tc>
        <w:tc>
          <w:tcPr>
            <w:tcW w:w="8500" w:type="dxa"/>
          </w:tcPr>
          <w:p w:rsidR="00E43ECB" w:rsidRPr="007F7EC5" w:rsidRDefault="007B3DAA">
            <w:r>
              <w:t>omówienie przyjętych zasad ( polityki) rachunkowości, w tym metod wyceny aktywów i pasywów( także amortyzacji)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7B3DAA" w:rsidP="007B3DAA">
            <w:pPr>
              <w:pStyle w:val="Akapitzlist"/>
              <w:numPr>
                <w:ilvl w:val="0"/>
                <w:numId w:val="1"/>
              </w:numPr>
            </w:pPr>
            <w:r>
              <w:t>Aktywa i pasywa wyceniane są przy uwzględnieniu nadrzędnych zasad rachunkowości w sposób przewidziany ustawą o rachunkowości, z uwzględnieniem przepisów ustawy o finansach publicznych i rozporządzenia  Ministra Rozwoju i Finansów  z dnia 13 września 2017 r. w sprawie rachunkowości oraz planów kont  dla budżetu państwa , budżetów jednostek samorządu terytorialnego, jednostek budżetowych, samorządowych zakładów budżetowych, państwowych funduszy celowych oraz państwowych jednostek budżetowych mających siedzibę poza granicami Rzeczypospolitej Polskiej.</w:t>
            </w:r>
          </w:p>
          <w:p w:rsidR="002A2B95" w:rsidRDefault="007B3DAA" w:rsidP="007B3DAA">
            <w:pPr>
              <w:pStyle w:val="Akapitzlist"/>
              <w:numPr>
                <w:ilvl w:val="0"/>
                <w:numId w:val="1"/>
              </w:numPr>
            </w:pPr>
            <w:r>
              <w:t xml:space="preserve">Dla potrzeb ujmowania w księgach środków trwałych oraz </w:t>
            </w:r>
            <w:r w:rsidR="002A2B95">
              <w:t>wartości niematerialnych         i prawnych jednostka przyjęła następujące ustalenia:</w:t>
            </w:r>
          </w:p>
          <w:p w:rsidR="007B3DAA" w:rsidRDefault="002A2B95" w:rsidP="002A2B95">
            <w:pPr>
              <w:pStyle w:val="Akapitzlist"/>
              <w:numPr>
                <w:ilvl w:val="0"/>
                <w:numId w:val="2"/>
              </w:numPr>
            </w:pPr>
            <w:r>
              <w:t xml:space="preserve">Środki trwałe o wartości </w:t>
            </w:r>
            <w:r w:rsidR="00DD07CB">
              <w:t>powyżej 10.000,00 zł podlegają umorzeniu</w:t>
            </w:r>
            <w:r>
              <w:t xml:space="preserve"> </w:t>
            </w:r>
            <w:r w:rsidR="00DD07CB">
              <w:t>jednorazowo na koniec roku</w:t>
            </w:r>
            <w:r w:rsidR="00470C9E">
              <w:t>,</w:t>
            </w:r>
            <w:r w:rsidR="00DD07CB">
              <w:t xml:space="preserve"> </w:t>
            </w:r>
            <w:r w:rsidR="00470C9E">
              <w:t>m</w:t>
            </w:r>
            <w:r w:rsidR="00DD07CB">
              <w:t xml:space="preserve">etodą liniową przy zastosowaniu stawek ustalonych dla danego składnika majątku w przepisach o podatku dochodowym od osób prawnych, </w:t>
            </w:r>
          </w:p>
          <w:p w:rsidR="00470C9E" w:rsidRDefault="00470C9E" w:rsidP="002A2B95">
            <w:pPr>
              <w:pStyle w:val="Akapitzlist"/>
              <w:numPr>
                <w:ilvl w:val="0"/>
                <w:numId w:val="2"/>
              </w:numPr>
            </w:pPr>
            <w:r>
              <w:t>Wartości niematerialne i prawne o wartości powyżej 10.000,00 zł. podlegają umorzeniu jednorazowo na koniec roku, metodą liniową przy zastosowaniu stawki 30% w skali roku,</w:t>
            </w:r>
          </w:p>
          <w:p w:rsidR="00470C9E" w:rsidRDefault="00470C9E" w:rsidP="002A2B95">
            <w:pPr>
              <w:pStyle w:val="Akapitzlist"/>
              <w:numPr>
                <w:ilvl w:val="0"/>
                <w:numId w:val="2"/>
              </w:numPr>
            </w:pPr>
            <w:r>
              <w:t xml:space="preserve">Jednorazowo , przez spisanie w koszty w miesiącu przyjęcia do użytkowania umarzane są : </w:t>
            </w:r>
          </w:p>
          <w:p w:rsidR="00470C9E" w:rsidRDefault="00470C9E" w:rsidP="00470C9E">
            <w:pPr>
              <w:ind w:left="825"/>
            </w:pPr>
            <w:r>
              <w:t xml:space="preserve">- środki dydaktyczne służące </w:t>
            </w:r>
            <w:r w:rsidR="00563AEE">
              <w:t>procesowi dydaktyczno-wychowawczemu,</w:t>
            </w:r>
          </w:p>
          <w:p w:rsidR="00563AEE" w:rsidRDefault="00563AEE" w:rsidP="00470C9E">
            <w:pPr>
              <w:ind w:left="825"/>
            </w:pPr>
            <w:r>
              <w:t>- odzież i umundurowanie,</w:t>
            </w:r>
          </w:p>
          <w:p w:rsidR="00563AEE" w:rsidRDefault="00563AEE" w:rsidP="00470C9E">
            <w:pPr>
              <w:ind w:left="825"/>
            </w:pPr>
            <w:r>
              <w:t>- meble i dywany,</w:t>
            </w:r>
          </w:p>
          <w:p w:rsidR="00244B8D" w:rsidRDefault="00244B8D" w:rsidP="00470C9E">
            <w:pPr>
              <w:ind w:left="825"/>
            </w:pPr>
            <w:r>
              <w:t>- pozostałe środki trwałe i wartości niematerialne i prawne o wartości nieprzekraczającej 10.000,00 zł</w:t>
            </w:r>
          </w:p>
          <w:p w:rsidR="00C34B07" w:rsidRDefault="00C34B07" w:rsidP="00470C9E">
            <w:pPr>
              <w:ind w:left="825"/>
            </w:pPr>
          </w:p>
          <w:p w:rsidR="00C34B07" w:rsidRDefault="00C34B07" w:rsidP="00C34B07">
            <w:r>
              <w:lastRenderedPageBreak/>
              <w:t xml:space="preserve">    3.  Środki trwałe i wartości niematerialne i prawne,  finansuje się ze środków na wydatki bieżące za wyjątkiem pierwszego wyposażenia nowego obiektu, które tak jak ten obiekt finansowane jest ze środków na inwestycje. </w:t>
            </w:r>
          </w:p>
          <w:p w:rsidR="00C34B07" w:rsidRDefault="00C34B07" w:rsidP="00C34B07">
            <w:r>
              <w:t xml:space="preserve">4. Jednakowe składniki majątkowe spełniające definicję środków trwałych , których cena jednostkowa przekracza 1.000,00 zł ale łączna kwota zakupu przekracza 10.000,00 zł podlegają ujęciu w ewidencji bilansowej środków trwałych jako składniki zbiorczego obiektu inwentarzowego. </w:t>
            </w:r>
          </w:p>
          <w:p w:rsidR="00C34B07" w:rsidRDefault="00C34B07" w:rsidP="00C34B07">
            <w:r>
              <w:t xml:space="preserve">5. Wartość środka trwałego ulega zwiększeniu jeżeli nakłady na jego przebudowę, rozbudowę, adaptację lub modernizację przekraczają 1.000,00 zł. </w:t>
            </w:r>
          </w:p>
          <w:p w:rsidR="00C34B07" w:rsidRDefault="00C34B07" w:rsidP="00C34B07">
            <w:r>
              <w:t xml:space="preserve">6.) Na potrzeby wyceny bilansowej wartość gruntów nie podlega aktualizacji. </w:t>
            </w:r>
          </w:p>
          <w:p w:rsidR="00C34B07" w:rsidRDefault="00C34B07" w:rsidP="00C34B07">
            <w:r>
              <w:t>7. Zalicza się do materiałów rzeczowe składniki majątku długotrwałego użytku o wartości jednostkowej nie większej niż 200,00 zł.</w:t>
            </w:r>
          </w:p>
          <w:p w:rsidR="00C34B07" w:rsidRDefault="00C34B07" w:rsidP="00C34B07">
            <w:r>
              <w:t xml:space="preserve"> 8. Zakupione materiały, za wyjątkiem artykułów spożywczych zakupionych na potrzeby stołówki szkolnej, odpisuje się w ciężar kosztów w momencie zakupu po rzeczywistych cenach zakupu. </w:t>
            </w:r>
          </w:p>
          <w:p w:rsidR="00C34B07" w:rsidRDefault="00C34B07" w:rsidP="00C34B07">
            <w:r>
              <w:t xml:space="preserve">9. Artykuły spożywcze zakupione na potrzeby stołówki szkolnej odpisuje się w ciężar kosztów w miesiącu zakupu po rzeczywistych cenach zakupu, z tym że wartość nie zużytych materiałów ustala się w drodze spisu z natury na dzień bilansowy i wprowadza na stan zapasów, korygując koszty o wartość tego stanu pod datą przeprowadzenia inwentaryzacji. Wartość stanu końcowego materiałów wycenia się metodą FIFO. </w:t>
            </w:r>
          </w:p>
          <w:p w:rsidR="00563AEE" w:rsidRDefault="00C34B07" w:rsidP="00250813">
            <w:r>
              <w:t>10. Koszty zakupu materiałów zalicza się w całości do kosztów okresu, w którym je poniesiono.</w:t>
            </w:r>
          </w:p>
          <w:p w:rsidR="00563AEE" w:rsidRDefault="00250813" w:rsidP="00250813">
            <w:r>
              <w:t>11. Nie rozlicza się kosztów w czasie.</w:t>
            </w:r>
          </w:p>
          <w:p w:rsidR="007B3DAA" w:rsidRPr="007F7EC5" w:rsidRDefault="007B3DAA">
            <w:r>
              <w:t xml:space="preserve">           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250813">
            <w:r>
              <w:lastRenderedPageBreak/>
              <w:t>5.</w:t>
            </w:r>
          </w:p>
        </w:tc>
        <w:tc>
          <w:tcPr>
            <w:tcW w:w="8500" w:type="dxa"/>
          </w:tcPr>
          <w:p w:rsidR="00E43ECB" w:rsidRPr="007F7EC5" w:rsidRDefault="00250813" w:rsidP="00250813">
            <w:r>
              <w:t xml:space="preserve"> inne informacje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244B8D">
            <w:r>
              <w:t xml:space="preserve">                                   Brak danych</w:t>
            </w:r>
          </w:p>
          <w:p w:rsidR="00250813" w:rsidRPr="007F7EC5" w:rsidRDefault="00244B8D">
            <w:r>
              <w:t xml:space="preserve">                               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244B8D" w:rsidRDefault="00250813" w:rsidP="00250813">
            <w:pPr>
              <w:rPr>
                <w:b/>
              </w:rPr>
            </w:pPr>
            <w:r w:rsidRPr="00244B8D">
              <w:rPr>
                <w:b/>
              </w:rPr>
              <w:t>II.</w:t>
            </w:r>
          </w:p>
        </w:tc>
        <w:tc>
          <w:tcPr>
            <w:tcW w:w="8500" w:type="dxa"/>
          </w:tcPr>
          <w:p w:rsidR="00E43ECB" w:rsidRPr="00244B8D" w:rsidRDefault="00250813">
            <w:pPr>
              <w:rPr>
                <w:b/>
              </w:rPr>
            </w:pPr>
            <w:r w:rsidRPr="00244B8D">
              <w:rPr>
                <w:b/>
              </w:rPr>
              <w:t>Dodatkowe informacje i objaśnienia obejmują w szczególności: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250813">
            <w:r>
              <w:t>1.</w:t>
            </w:r>
          </w:p>
        </w:tc>
        <w:tc>
          <w:tcPr>
            <w:tcW w:w="8500" w:type="dxa"/>
          </w:tcPr>
          <w:p w:rsidR="00E43ECB" w:rsidRPr="007F7EC5" w:rsidRDefault="00E43ECB"/>
        </w:tc>
      </w:tr>
      <w:tr w:rsidR="00E43ECB" w:rsidRPr="007F7EC5" w:rsidTr="00C940B9">
        <w:tc>
          <w:tcPr>
            <w:tcW w:w="562" w:type="dxa"/>
          </w:tcPr>
          <w:p w:rsidR="00E43ECB" w:rsidRPr="007F7EC5" w:rsidRDefault="00250813" w:rsidP="00250813">
            <w:r>
              <w:t>1.1</w:t>
            </w:r>
            <w:r w:rsidR="009E30E8">
              <w:t>.</w:t>
            </w:r>
          </w:p>
        </w:tc>
        <w:tc>
          <w:tcPr>
            <w:tcW w:w="8500" w:type="dxa"/>
          </w:tcPr>
          <w:p w:rsidR="00E43ECB" w:rsidRPr="007F7EC5" w:rsidRDefault="00250813" w:rsidP="00821548">
            <w:r>
              <w:t>Szczegółowy zakres zmian wartości grup rodzajowych środków trwałych, wartości niematerialnych i prawnych, zawierający stan</w:t>
            </w:r>
            <w:r w:rsidR="003C4889">
              <w:t xml:space="preserve"> </w:t>
            </w:r>
            <w:r>
              <w:t>tych aktywów na początek roku obrotowego, zwiększenia i zmniejs</w:t>
            </w:r>
            <w:r w:rsidR="003C4889">
              <w:t>z</w:t>
            </w:r>
            <w:r>
              <w:t>enia z tytułu</w:t>
            </w:r>
            <w:r w:rsidR="003C4889">
              <w:t xml:space="preserve"> : aktualizacji wartości , nabycia, rozchodu, przemieszczenia wewnętrznego oraz stan końcowy, a dla majątku amortyzowanego- podobne przedstawienie stanów i tytułów zmian dotychczasowej amortyzacji lub </w:t>
            </w:r>
            <w:r w:rsidR="00821548">
              <w:t>u</w:t>
            </w:r>
            <w:r w:rsidR="003C4889">
              <w:t xml:space="preserve">morzenia.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E27B2C" w:rsidRDefault="003C4889" w:rsidP="003C4889">
            <w:pPr>
              <w:rPr>
                <w:b/>
                <w:i/>
              </w:rPr>
            </w:pPr>
            <w:r>
              <w:t xml:space="preserve">     </w:t>
            </w:r>
            <w:r w:rsidR="009E30E8">
              <w:t xml:space="preserve">  </w:t>
            </w:r>
            <w:r>
              <w:t xml:space="preserve">   </w:t>
            </w:r>
            <w:r w:rsidRPr="00E27B2C">
              <w:rPr>
                <w:b/>
                <w:i/>
              </w:rPr>
              <w:t xml:space="preserve">Załącznik  1.1.1 </w:t>
            </w:r>
            <w:r w:rsidR="00821548" w:rsidRPr="00E27B2C">
              <w:rPr>
                <w:b/>
                <w:i/>
              </w:rPr>
              <w:t xml:space="preserve"> </w:t>
            </w:r>
            <w:r w:rsidRPr="00E27B2C">
              <w:rPr>
                <w:b/>
                <w:i/>
              </w:rPr>
              <w:t xml:space="preserve">i </w:t>
            </w:r>
            <w:r w:rsidR="00821548" w:rsidRPr="00E27B2C">
              <w:rPr>
                <w:b/>
                <w:i/>
              </w:rPr>
              <w:t xml:space="preserve"> </w:t>
            </w:r>
            <w:r w:rsidRPr="00E27B2C">
              <w:rPr>
                <w:b/>
                <w:i/>
              </w:rPr>
              <w:t>załącznik 1.1.2</w:t>
            </w:r>
          </w:p>
          <w:p w:rsidR="009E30E8" w:rsidRPr="007F7EC5" w:rsidRDefault="009E30E8" w:rsidP="003C4889">
            <w:bookmarkStart w:id="0" w:name="_GoBack"/>
            <w:bookmarkEnd w:id="0"/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E30E8">
            <w:r>
              <w:t>1.2.</w:t>
            </w:r>
          </w:p>
        </w:tc>
        <w:tc>
          <w:tcPr>
            <w:tcW w:w="8500" w:type="dxa"/>
          </w:tcPr>
          <w:p w:rsidR="00E43ECB" w:rsidRPr="007F7EC5" w:rsidRDefault="009E30E8">
            <w:r>
              <w:t>aktualną wartość rynkową środków trwałych, w tym dóbr kultury- o ile jednostka dysponuje takimi informacjami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E30E8">
            <w:r>
              <w:t xml:space="preserve">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E30E8">
            <w:r>
              <w:t>1.3.</w:t>
            </w:r>
          </w:p>
        </w:tc>
        <w:tc>
          <w:tcPr>
            <w:tcW w:w="8500" w:type="dxa"/>
          </w:tcPr>
          <w:p w:rsidR="00E43ECB" w:rsidRDefault="009E30E8" w:rsidP="009E30E8">
            <w:r>
              <w:t xml:space="preserve"> kwotę dokonanych w trakcie roku obrotowego odpisów aktualizacyjnych wartości aktywów trwałych odrębnie dla długoterminowych aktywów niefinansowych oraz długoterminowych</w:t>
            </w:r>
          </w:p>
          <w:p w:rsidR="009E30E8" w:rsidRPr="007F7EC5" w:rsidRDefault="009E30E8" w:rsidP="009E30E8">
            <w:r>
              <w:t>aktywów finansowych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E30E8">
            <w:r>
              <w:t xml:space="preserve">                                        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E30E8">
            <w:r>
              <w:t>1.4.</w:t>
            </w:r>
          </w:p>
        </w:tc>
        <w:tc>
          <w:tcPr>
            <w:tcW w:w="8500" w:type="dxa"/>
          </w:tcPr>
          <w:p w:rsidR="00E43ECB" w:rsidRPr="007F7EC5" w:rsidRDefault="009E30E8" w:rsidP="009E30E8">
            <w:r>
              <w:t>wartość gruntów użytkowanych wieczyście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E30E8">
            <w:r>
              <w:t xml:space="preserve">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E30E8">
            <w:r>
              <w:t>1.5.</w:t>
            </w:r>
          </w:p>
        </w:tc>
        <w:tc>
          <w:tcPr>
            <w:tcW w:w="8500" w:type="dxa"/>
          </w:tcPr>
          <w:p w:rsidR="00E43ECB" w:rsidRPr="007F7EC5" w:rsidRDefault="009E30E8" w:rsidP="009E30E8">
            <w:r>
              <w:t>wartość nieamortyzowanych lub nieumarzanych przez jednostkę środków trwałych, użytkowanych na podstawie umów najmu, dzierżawy i innych umów , w tym z tytułu umów leasingu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E30E8">
            <w:r>
              <w:t xml:space="preserve"> 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E30E8">
            <w:r>
              <w:lastRenderedPageBreak/>
              <w:t>1.6.</w:t>
            </w:r>
          </w:p>
        </w:tc>
        <w:tc>
          <w:tcPr>
            <w:tcW w:w="8500" w:type="dxa"/>
          </w:tcPr>
          <w:p w:rsidR="00E43ECB" w:rsidRPr="007F7EC5" w:rsidRDefault="009E30E8">
            <w:r>
              <w:t>liczbę  oraz wartość posiadanych papierów wartościowych, w tym akcji i udziałów oraz dłużnych papierów wartościowych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E30E8">
            <w:r>
              <w:t xml:space="preserve">                              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D15762">
            <w:r>
              <w:t>1.7.</w:t>
            </w:r>
          </w:p>
        </w:tc>
        <w:tc>
          <w:tcPr>
            <w:tcW w:w="8500" w:type="dxa"/>
          </w:tcPr>
          <w:p w:rsidR="00E43ECB" w:rsidRPr="007F7EC5" w:rsidRDefault="00D15762">
            <w:r>
              <w:t>dane  o odpisach aktualizujących wartość należności , ze wskazaniem stanu na początek roku obrotowego, zwiększeniach, wykorzystaniu, rozwiązaniu i stanie na koniec roku obrotowego, z uwzględnieniem należności finansowych jednostek samorządu terytorialnego( stan pożyczek zagrożonych )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D15762">
            <w:r>
              <w:t xml:space="preserve">   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D15762">
            <w:r>
              <w:t>1.8.</w:t>
            </w:r>
          </w:p>
        </w:tc>
        <w:tc>
          <w:tcPr>
            <w:tcW w:w="8500" w:type="dxa"/>
          </w:tcPr>
          <w:p w:rsidR="00E43ECB" w:rsidRPr="007F7EC5" w:rsidRDefault="00D15762" w:rsidP="00D15762">
            <w:r>
              <w:t>dane o stanie rezerw według celu ich utworzenia na początek roku obrotowego, zwiększeniach, wykorzystaniu, rozwiązaniu i stanie końcowym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D15762" w:rsidRPr="007F7EC5" w:rsidRDefault="00D15762" w:rsidP="00D15762">
            <w:r>
              <w:t xml:space="preserve">                                     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D15762">
            <w:r>
              <w:t>1.9.</w:t>
            </w:r>
          </w:p>
        </w:tc>
        <w:tc>
          <w:tcPr>
            <w:tcW w:w="8500" w:type="dxa"/>
          </w:tcPr>
          <w:p w:rsidR="00E43ECB" w:rsidRPr="007F7EC5" w:rsidRDefault="00D15762" w:rsidP="00733D42">
            <w:r>
              <w:t>podział zobowiązań długoterminowych według pozycji bilansu o pozostałym</w:t>
            </w:r>
            <w:r w:rsidR="00733D42">
              <w:t xml:space="preserve"> od dnia  bilansowego, przewidywanym umową lub wynikającym z innego tytułu prawnego, okresie spłaty: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733D42" w:rsidP="00733D42">
            <w:r>
              <w:t xml:space="preserve">a) </w:t>
            </w:r>
          </w:p>
        </w:tc>
        <w:tc>
          <w:tcPr>
            <w:tcW w:w="8500" w:type="dxa"/>
          </w:tcPr>
          <w:p w:rsidR="00E43ECB" w:rsidRPr="007F7EC5" w:rsidRDefault="00733D42">
            <w:r>
              <w:t>powyżej  1 roku do 3 lat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733D42">
            <w:r>
              <w:t xml:space="preserve">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733D42" w:rsidP="00733D42">
            <w:r>
              <w:t>b)</w:t>
            </w:r>
          </w:p>
        </w:tc>
        <w:tc>
          <w:tcPr>
            <w:tcW w:w="8500" w:type="dxa"/>
          </w:tcPr>
          <w:p w:rsidR="00E43ECB" w:rsidRPr="007F7EC5" w:rsidRDefault="00733D42" w:rsidP="00733D42">
            <w:r>
              <w:t>powyżej  3 do 5 lat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733D42">
            <w:r>
              <w:t xml:space="preserve">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842CF5">
            <w:r>
              <w:t>c)</w:t>
            </w:r>
          </w:p>
        </w:tc>
        <w:tc>
          <w:tcPr>
            <w:tcW w:w="8500" w:type="dxa"/>
          </w:tcPr>
          <w:p w:rsidR="00E43ECB" w:rsidRPr="007F7EC5" w:rsidRDefault="00842CF5">
            <w:r>
              <w:t>powyżej  5 lat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842CF5">
            <w:r>
              <w:t xml:space="preserve">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842CF5">
            <w:r>
              <w:t>1.10.</w:t>
            </w:r>
          </w:p>
        </w:tc>
        <w:tc>
          <w:tcPr>
            <w:tcW w:w="8500" w:type="dxa"/>
          </w:tcPr>
          <w:p w:rsidR="00E43ECB" w:rsidRPr="007F7EC5" w:rsidRDefault="00842CF5" w:rsidP="00842CF5">
            <w:r>
              <w:t xml:space="preserve">kwotę zobowiązań w sytuacji gdy jednostka kwalifikuje umowy leasingu zgodnie z przepisami podatkowymi( leasing operacyjny), a według przepisów o rachunkowości byłby to leasing finansowy lub zwrotny z podziałem na kwotę  zobowiązań z tytułu finansowego lub leasingu zwrotnego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842CF5" w:rsidP="009711B1">
            <w:r>
              <w:t xml:space="preserve">                              </w:t>
            </w:r>
            <w:r w:rsidR="009711B1">
              <w:t xml:space="preserve">    </w:t>
            </w:r>
            <w:r>
              <w:t xml:space="preserve">     </w:t>
            </w:r>
            <w:r w:rsidR="009711B1">
              <w:t>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711B1">
            <w:r>
              <w:t>1.11.</w:t>
            </w:r>
          </w:p>
        </w:tc>
        <w:tc>
          <w:tcPr>
            <w:tcW w:w="8500" w:type="dxa"/>
          </w:tcPr>
          <w:p w:rsidR="00E43ECB" w:rsidRPr="007F7EC5" w:rsidRDefault="009711B1" w:rsidP="009711B1">
            <w:r>
              <w:t xml:space="preserve">łączną kwotę zobowiązań zabezpieczonych na majątku jednostki ze wskazaniem charakteru i formy tych zabezpieczeń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711B1">
            <w:r>
              <w:t xml:space="preserve"> 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711B1">
            <w:r>
              <w:t xml:space="preserve">1.12.  </w:t>
            </w:r>
          </w:p>
        </w:tc>
        <w:tc>
          <w:tcPr>
            <w:tcW w:w="8500" w:type="dxa"/>
          </w:tcPr>
          <w:p w:rsidR="00E43ECB" w:rsidRPr="007F7EC5" w:rsidRDefault="009711B1" w:rsidP="009711B1">
            <w:r>
              <w:t>łączną kwotę zobowiązań warunkowych, w tym  również udzielonych przez jednostkę gwarancji i poręczeń, także wekslowych, niewykazanych w bilansie, ze wskazaniem zobowiązań zabezpieczonych na majątku jednostki oraz charakteru i formy tych zabezpieczeń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711B1">
            <w:r>
              <w:t xml:space="preserve">                                         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9711B1">
            <w:r>
              <w:t>1.13.</w:t>
            </w:r>
          </w:p>
        </w:tc>
        <w:tc>
          <w:tcPr>
            <w:tcW w:w="8500" w:type="dxa"/>
          </w:tcPr>
          <w:p w:rsidR="00E43ECB" w:rsidRPr="007F7EC5" w:rsidRDefault="009711B1" w:rsidP="009711B1">
            <w:r>
              <w:t>wykaz istotnych pozycji czynnych i biernych rozliczeń międzyokresowych, w tym kwotę czynnych rozliczeń międzyokresowych kosztów stanowiących różnicę między wartością otrzymanych finansowych składników aktywów a zobowiązaniem zapłaty za nie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9711B1" w:rsidP="009711B1">
            <w:r>
              <w:t xml:space="preserve">                                        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A69BA">
            <w:r>
              <w:t>1.14.</w:t>
            </w:r>
          </w:p>
        </w:tc>
        <w:tc>
          <w:tcPr>
            <w:tcW w:w="8500" w:type="dxa"/>
          </w:tcPr>
          <w:p w:rsidR="00E43ECB" w:rsidRPr="007F7EC5" w:rsidRDefault="00EA69BA">
            <w:r>
              <w:t>łączną kwotę otrzymanych przez jednostkę gwarancji i poręczeń  niewykazanych w bilansie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EA69BA">
            <w:r>
              <w:t xml:space="preserve">   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A69BA">
            <w:r>
              <w:t>1.15.</w:t>
            </w:r>
          </w:p>
        </w:tc>
        <w:tc>
          <w:tcPr>
            <w:tcW w:w="8500" w:type="dxa"/>
          </w:tcPr>
          <w:p w:rsidR="00E43ECB" w:rsidRPr="007F7EC5" w:rsidRDefault="00EA69BA" w:rsidP="00EA69BA">
            <w:r>
              <w:t xml:space="preserve"> kwotę wypłaconych środków pieniężnych na świadczenia pracownicze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Default="00821548">
            <w:r>
              <w:t xml:space="preserve">                               154.981,90 zł</w:t>
            </w:r>
          </w:p>
          <w:p w:rsidR="00821548" w:rsidRPr="007F7EC5" w:rsidRDefault="00821548">
            <w:r>
              <w:t xml:space="preserve">                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A69BA">
            <w:r>
              <w:t>1.16.</w:t>
            </w:r>
          </w:p>
        </w:tc>
        <w:tc>
          <w:tcPr>
            <w:tcW w:w="8500" w:type="dxa"/>
          </w:tcPr>
          <w:p w:rsidR="00E43ECB" w:rsidRPr="007F7EC5" w:rsidRDefault="00EA69BA">
            <w:r>
              <w:t>inne  informacje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EA69BA">
            <w:r>
              <w:t xml:space="preserve">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A69BA">
            <w:r>
              <w:t>2.</w:t>
            </w:r>
          </w:p>
        </w:tc>
        <w:tc>
          <w:tcPr>
            <w:tcW w:w="8500" w:type="dxa"/>
          </w:tcPr>
          <w:p w:rsidR="00E43ECB" w:rsidRPr="007F7EC5" w:rsidRDefault="00E43ECB"/>
        </w:tc>
      </w:tr>
      <w:tr w:rsidR="00E43ECB" w:rsidRPr="007F7EC5" w:rsidTr="00C940B9">
        <w:tc>
          <w:tcPr>
            <w:tcW w:w="562" w:type="dxa"/>
          </w:tcPr>
          <w:p w:rsidR="00E43ECB" w:rsidRPr="007F7EC5" w:rsidRDefault="00EA69BA">
            <w:r>
              <w:t>2.1.</w:t>
            </w:r>
          </w:p>
        </w:tc>
        <w:tc>
          <w:tcPr>
            <w:tcW w:w="8500" w:type="dxa"/>
          </w:tcPr>
          <w:p w:rsidR="00E43ECB" w:rsidRPr="007F7EC5" w:rsidRDefault="00EA69BA">
            <w:r>
              <w:t>wysokość odpisów aktualizujących wartość zapasów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EA69BA">
            <w:r>
              <w:t xml:space="preserve">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A69BA">
            <w:r>
              <w:t>2.2.</w:t>
            </w:r>
          </w:p>
        </w:tc>
        <w:tc>
          <w:tcPr>
            <w:tcW w:w="8500" w:type="dxa"/>
          </w:tcPr>
          <w:p w:rsidR="00E43ECB" w:rsidRPr="007F7EC5" w:rsidRDefault="00EA69BA" w:rsidP="00EA69BA">
            <w:r>
              <w:t>kwota  wytworzenia środków trwałych w budowie, w tym odsetki oraz różnice kursowe, które powiększyły koszt wytworzenia środków trwałych w budowie w roku obrotowym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EA69BA">
            <w:r>
              <w:t xml:space="preserve">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C940B9" w:rsidP="00EA69BA">
            <w:pPr>
              <w:ind w:left="283"/>
            </w:pPr>
            <w:r>
              <w:t>2.3.</w:t>
            </w:r>
          </w:p>
        </w:tc>
        <w:tc>
          <w:tcPr>
            <w:tcW w:w="8500" w:type="dxa"/>
          </w:tcPr>
          <w:p w:rsidR="00E43ECB" w:rsidRPr="007F7EC5" w:rsidRDefault="00C940B9">
            <w:r>
              <w:t>kwotę i charakter poszczególnych pozycji przychodów lub kosztów o nadzwyczajnej wartości lub które wystąpiły incydentalnie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C940B9">
            <w:r>
              <w:t xml:space="preserve">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C940B9">
            <w:r>
              <w:t xml:space="preserve">     2.4.</w:t>
            </w:r>
          </w:p>
        </w:tc>
        <w:tc>
          <w:tcPr>
            <w:tcW w:w="8500" w:type="dxa"/>
          </w:tcPr>
          <w:p w:rsidR="00E43ECB" w:rsidRPr="007F7EC5" w:rsidRDefault="00C940B9" w:rsidP="00C940B9">
            <w:r>
              <w:t>informację o kwocie należności z tytułu podatków realizowanych przez organy podatkowe podległe ministrowi właściwemu do spraw finansów publicznych wykazywanych w sprawozdaniu z wykonania planu dochodów budżetowych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C940B9">
            <w:r>
              <w:t xml:space="preserve">                                          Nie dotyczy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C940B9">
            <w:r>
              <w:t xml:space="preserve">     2.5.  </w:t>
            </w:r>
          </w:p>
        </w:tc>
        <w:tc>
          <w:tcPr>
            <w:tcW w:w="8500" w:type="dxa"/>
          </w:tcPr>
          <w:p w:rsidR="00E43ECB" w:rsidRPr="007F7EC5" w:rsidRDefault="00C940B9" w:rsidP="00C940B9">
            <w:r>
              <w:t xml:space="preserve"> inne informacje 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E43ECB"/>
        </w:tc>
        <w:tc>
          <w:tcPr>
            <w:tcW w:w="8500" w:type="dxa"/>
          </w:tcPr>
          <w:p w:rsidR="00E43ECB" w:rsidRPr="007F7EC5" w:rsidRDefault="00C940B9">
            <w:r>
              <w:t xml:space="preserve">                                           Brak danych</w:t>
            </w:r>
          </w:p>
        </w:tc>
      </w:tr>
      <w:tr w:rsidR="00E43ECB" w:rsidRPr="007F7EC5" w:rsidTr="00C940B9">
        <w:tc>
          <w:tcPr>
            <w:tcW w:w="562" w:type="dxa"/>
          </w:tcPr>
          <w:p w:rsidR="00E43ECB" w:rsidRPr="007F7EC5" w:rsidRDefault="00C940B9">
            <w:r>
              <w:t xml:space="preserve">      3.</w:t>
            </w:r>
          </w:p>
        </w:tc>
        <w:tc>
          <w:tcPr>
            <w:tcW w:w="8500" w:type="dxa"/>
          </w:tcPr>
          <w:p w:rsidR="00E43ECB" w:rsidRPr="007F7EC5" w:rsidRDefault="00C940B9">
            <w:r>
              <w:t>Inne informacje niż wymienione powyżej, jeżeli mogłyby w istotny sposób wpłynąć na ocenę sytuacji majątkowej i finansowej oraz wynik finansowy jednostki</w:t>
            </w:r>
          </w:p>
        </w:tc>
      </w:tr>
      <w:tr w:rsidR="00E13248" w:rsidRPr="007F7EC5" w:rsidTr="00C940B9">
        <w:tc>
          <w:tcPr>
            <w:tcW w:w="562" w:type="dxa"/>
          </w:tcPr>
          <w:p w:rsidR="00E13248" w:rsidRPr="007F7EC5" w:rsidRDefault="00E13248"/>
        </w:tc>
        <w:tc>
          <w:tcPr>
            <w:tcW w:w="8500" w:type="dxa"/>
          </w:tcPr>
          <w:p w:rsidR="00E13248" w:rsidRPr="007F7EC5" w:rsidRDefault="00C940B9">
            <w:r>
              <w:t xml:space="preserve">                                              Brak danych</w:t>
            </w:r>
          </w:p>
        </w:tc>
      </w:tr>
    </w:tbl>
    <w:p w:rsidR="00E43ECB" w:rsidRDefault="00E43ECB" w:rsidP="00C940B9"/>
    <w:p w:rsidR="00C940B9" w:rsidRDefault="00C940B9" w:rsidP="00C940B9"/>
    <w:p w:rsidR="00C940B9" w:rsidRDefault="00C940B9" w:rsidP="00C940B9"/>
    <w:p w:rsidR="00C940B9" w:rsidRDefault="00C940B9" w:rsidP="00C940B9"/>
    <w:p w:rsidR="00C940B9" w:rsidRDefault="00C940B9" w:rsidP="00C940B9"/>
    <w:p w:rsidR="00C940B9" w:rsidRDefault="00C940B9" w:rsidP="00C940B9"/>
    <w:p w:rsidR="00C940B9" w:rsidRDefault="00C940B9" w:rsidP="00C940B9">
      <w:r>
        <w:t>……………………………………                             …………………………………                  …………………………………………..</w:t>
      </w:r>
    </w:p>
    <w:p w:rsidR="00C940B9" w:rsidRDefault="00C940B9" w:rsidP="00C940B9">
      <w:r>
        <w:t xml:space="preserve">(główny księgowy)                                      ( rok, miesiąc, dzień)                       (kierownik jednostki) </w:t>
      </w:r>
    </w:p>
    <w:sectPr w:rsidR="00C94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949"/>
    <w:multiLevelType w:val="multilevel"/>
    <w:tmpl w:val="ADD20744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05" w:hanging="1800"/>
      </w:pPr>
      <w:rPr>
        <w:rFonts w:hint="default"/>
      </w:rPr>
    </w:lvl>
  </w:abstractNum>
  <w:abstractNum w:abstractNumId="1" w15:restartNumberingAfterBreak="0">
    <w:nsid w:val="4B623822"/>
    <w:multiLevelType w:val="hybridMultilevel"/>
    <w:tmpl w:val="E31E77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13B09"/>
    <w:multiLevelType w:val="hybridMultilevel"/>
    <w:tmpl w:val="E95E6C66"/>
    <w:lvl w:ilvl="0" w:tplc="87F2E9CC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CB"/>
    <w:rsid w:val="001260E6"/>
    <w:rsid w:val="00244B8D"/>
    <w:rsid w:val="00250813"/>
    <w:rsid w:val="002A2B95"/>
    <w:rsid w:val="003C4889"/>
    <w:rsid w:val="00470C9E"/>
    <w:rsid w:val="00563AEE"/>
    <w:rsid w:val="00733D42"/>
    <w:rsid w:val="007B3DAA"/>
    <w:rsid w:val="007F7EC5"/>
    <w:rsid w:val="00811452"/>
    <w:rsid w:val="00821548"/>
    <w:rsid w:val="00842CF5"/>
    <w:rsid w:val="009711B1"/>
    <w:rsid w:val="009E30E8"/>
    <w:rsid w:val="00C0043F"/>
    <w:rsid w:val="00C34B07"/>
    <w:rsid w:val="00C940B9"/>
    <w:rsid w:val="00D15762"/>
    <w:rsid w:val="00DD07CB"/>
    <w:rsid w:val="00E13248"/>
    <w:rsid w:val="00E27B2C"/>
    <w:rsid w:val="00E43ECB"/>
    <w:rsid w:val="00EA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9FA28-9440-49A6-8518-71925955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3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3D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1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2019-01-23T07:11:00Z</cp:lastPrinted>
  <dcterms:created xsi:type="dcterms:W3CDTF">2019-01-22T09:45:00Z</dcterms:created>
  <dcterms:modified xsi:type="dcterms:W3CDTF">2019-02-08T12:57:00Z</dcterms:modified>
</cp:coreProperties>
</file>